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EA" w:rsidRPr="007E7A20" w:rsidRDefault="00340CC1" w:rsidP="007E7A20">
      <w:pPr>
        <w:jc w:val="center"/>
        <w:rPr>
          <w:rFonts w:ascii="Times New Roman" w:hAnsi="Times New Roman" w:cs="Times New Roman"/>
          <w:b/>
          <w:sz w:val="24"/>
          <w:szCs w:val="24"/>
        </w:rPr>
      </w:pPr>
      <w:r w:rsidRPr="007E7A20">
        <w:rPr>
          <w:rFonts w:ascii="Times New Roman" w:hAnsi="Times New Roman" w:cs="Times New Roman"/>
          <w:b/>
          <w:sz w:val="24"/>
          <w:szCs w:val="24"/>
        </w:rPr>
        <w:t>Atlantic case study</w:t>
      </w:r>
    </w:p>
    <w:p w:rsidR="00D87AEA" w:rsidRPr="00C2704E" w:rsidRDefault="00D87AEA" w:rsidP="00D87AEA">
      <w:pPr>
        <w:rPr>
          <w:rFonts w:ascii="Times New Roman" w:hAnsi="Times New Roman" w:cs="Times New Roman"/>
          <w:sz w:val="24"/>
          <w:szCs w:val="24"/>
        </w:rPr>
      </w:pPr>
      <w:r w:rsidRPr="003B56ED">
        <w:rPr>
          <w:rFonts w:ascii="Times New Roman" w:hAnsi="Times New Roman" w:cs="Times New Roman"/>
          <w:b/>
          <w:sz w:val="24"/>
          <w:szCs w:val="24"/>
        </w:rPr>
        <w:t>TO</w:t>
      </w:r>
      <w:r w:rsidRPr="00C2704E">
        <w:rPr>
          <w:rFonts w:ascii="Times New Roman" w:hAnsi="Times New Roman" w:cs="Times New Roman"/>
          <w:sz w:val="24"/>
          <w:szCs w:val="24"/>
        </w:rPr>
        <w:t>: Oliver Smith</w:t>
      </w:r>
    </w:p>
    <w:p w:rsidR="00D87AEA" w:rsidRPr="00C2704E" w:rsidRDefault="00D87AEA" w:rsidP="00D87AEA">
      <w:pPr>
        <w:rPr>
          <w:rFonts w:ascii="Times New Roman" w:hAnsi="Times New Roman" w:cs="Times New Roman"/>
          <w:sz w:val="24"/>
          <w:szCs w:val="24"/>
        </w:rPr>
      </w:pPr>
      <w:r w:rsidRPr="003B56ED">
        <w:rPr>
          <w:rFonts w:ascii="Times New Roman" w:hAnsi="Times New Roman" w:cs="Times New Roman"/>
          <w:b/>
          <w:sz w:val="24"/>
          <w:szCs w:val="24"/>
        </w:rPr>
        <w:t>FROM:</w:t>
      </w:r>
      <w:r w:rsidRPr="00C2704E">
        <w:rPr>
          <w:rFonts w:ascii="Times New Roman" w:hAnsi="Times New Roman" w:cs="Times New Roman"/>
          <w:sz w:val="24"/>
          <w:szCs w:val="24"/>
        </w:rPr>
        <w:t xml:space="preserve"> Ricardo Rodriguez</w:t>
      </w:r>
    </w:p>
    <w:p w:rsidR="00D87AEA" w:rsidRPr="00C2704E" w:rsidRDefault="00D87AEA" w:rsidP="00D87AEA">
      <w:pPr>
        <w:rPr>
          <w:rFonts w:ascii="Times New Roman" w:hAnsi="Times New Roman" w:cs="Times New Roman"/>
          <w:sz w:val="24"/>
          <w:szCs w:val="24"/>
        </w:rPr>
      </w:pPr>
      <w:r w:rsidRPr="003B56ED">
        <w:rPr>
          <w:rFonts w:ascii="Times New Roman" w:hAnsi="Times New Roman" w:cs="Times New Roman"/>
          <w:b/>
          <w:sz w:val="24"/>
          <w:szCs w:val="24"/>
        </w:rPr>
        <w:t>DATE:</w:t>
      </w:r>
      <w:r w:rsidRPr="00C2704E">
        <w:rPr>
          <w:rFonts w:ascii="Times New Roman" w:hAnsi="Times New Roman" w:cs="Times New Roman"/>
          <w:sz w:val="24"/>
          <w:szCs w:val="24"/>
        </w:rPr>
        <w:t xml:space="preserve"> April 6, 2021</w:t>
      </w:r>
    </w:p>
    <w:p w:rsidR="00D87AEA" w:rsidRPr="00C2704E" w:rsidRDefault="00D87AEA" w:rsidP="00D87AEA">
      <w:pPr>
        <w:rPr>
          <w:rFonts w:ascii="Times New Roman" w:hAnsi="Times New Roman" w:cs="Times New Roman"/>
          <w:sz w:val="24"/>
          <w:szCs w:val="24"/>
        </w:rPr>
      </w:pPr>
      <w:r w:rsidRPr="003B56ED">
        <w:rPr>
          <w:rFonts w:ascii="Times New Roman" w:hAnsi="Times New Roman" w:cs="Times New Roman"/>
          <w:b/>
          <w:sz w:val="24"/>
          <w:szCs w:val="24"/>
        </w:rPr>
        <w:t>RE:</w:t>
      </w:r>
      <w:r w:rsidRPr="00C2704E">
        <w:rPr>
          <w:rFonts w:ascii="Times New Roman" w:hAnsi="Times New Roman" w:cs="Times New Roman"/>
          <w:sz w:val="24"/>
          <w:szCs w:val="24"/>
        </w:rPr>
        <w:t xml:space="preserve"> BEST PRICING STRATEGY FOR JOWERS </w:t>
      </w:r>
    </w:p>
    <w:p w:rsidR="004C48C7" w:rsidRPr="00C2704E" w:rsidRDefault="004C48C7" w:rsidP="00D87AEA">
      <w:pPr>
        <w:rPr>
          <w:rFonts w:ascii="Times New Roman" w:hAnsi="Times New Roman" w:cs="Times New Roman"/>
          <w:sz w:val="24"/>
          <w:szCs w:val="24"/>
        </w:rPr>
      </w:pPr>
      <w:r w:rsidRPr="00C2704E">
        <w:rPr>
          <w:rFonts w:ascii="Times New Roman" w:hAnsi="Times New Roman" w:cs="Times New Roman"/>
          <w:sz w:val="24"/>
          <w:szCs w:val="24"/>
        </w:rPr>
        <w:t xml:space="preserve">This memo recommends the use of the value in strategy as the best </w:t>
      </w:r>
      <w:r w:rsidR="006730C7" w:rsidRPr="00C2704E">
        <w:rPr>
          <w:rFonts w:ascii="Times New Roman" w:hAnsi="Times New Roman" w:cs="Times New Roman"/>
          <w:sz w:val="24"/>
          <w:szCs w:val="24"/>
        </w:rPr>
        <w:t xml:space="preserve">pricing strategy Jowers should charge Day Trade Journal.com for the Atlantic Journal. </w:t>
      </w:r>
      <w:r w:rsidR="00DD10FC" w:rsidRPr="00C2704E">
        <w:rPr>
          <w:rFonts w:ascii="Times New Roman" w:hAnsi="Times New Roman" w:cs="Times New Roman"/>
          <w:sz w:val="24"/>
          <w:szCs w:val="24"/>
        </w:rPr>
        <w:t>This is after comparison with the other strategies using break-even analysis whereby the contribution margin analysis of value-in strategy is the highest</w:t>
      </w:r>
      <w:r w:rsidR="003B56ED">
        <w:rPr>
          <w:rFonts w:ascii="Times New Roman" w:hAnsi="Times New Roman" w:cs="Times New Roman"/>
          <w:sz w:val="24"/>
          <w:szCs w:val="24"/>
        </w:rPr>
        <w:t xml:space="preserve"> (2662). </w:t>
      </w:r>
    </w:p>
    <w:p w:rsidR="00BF1BAD" w:rsidRPr="00C2704E" w:rsidRDefault="00BF1BAD" w:rsidP="003B56ED">
      <w:pPr>
        <w:jc w:val="center"/>
        <w:rPr>
          <w:rFonts w:ascii="Times New Roman" w:hAnsi="Times New Roman" w:cs="Times New Roman"/>
          <w:b/>
          <w:sz w:val="24"/>
          <w:szCs w:val="24"/>
        </w:rPr>
      </w:pPr>
      <w:r w:rsidRPr="00C2704E">
        <w:rPr>
          <w:rFonts w:ascii="Times New Roman" w:hAnsi="Times New Roman" w:cs="Times New Roman"/>
          <w:b/>
          <w:sz w:val="24"/>
          <w:szCs w:val="24"/>
        </w:rPr>
        <w:t>Background</w:t>
      </w:r>
    </w:p>
    <w:p w:rsidR="00BF1BAD" w:rsidRPr="00C2704E" w:rsidRDefault="00BF1BAD" w:rsidP="00D87AEA">
      <w:pPr>
        <w:rPr>
          <w:rFonts w:ascii="Times New Roman" w:hAnsi="Times New Roman" w:cs="Times New Roman"/>
          <w:sz w:val="24"/>
          <w:szCs w:val="24"/>
        </w:rPr>
      </w:pPr>
      <w:r w:rsidRPr="00C2704E">
        <w:rPr>
          <w:rFonts w:ascii="Times New Roman" w:hAnsi="Times New Roman" w:cs="Times New Roman"/>
          <w:sz w:val="24"/>
          <w:szCs w:val="24"/>
        </w:rPr>
        <w:t xml:space="preserve">There are four major options available for pricing strategy that Jowers can charge DayTradeJournal.com for the Atlantic journal. The first strategy is the status quo. In this strategy, the PESA will be provided free of cost with the </w:t>
      </w:r>
      <w:proofErr w:type="spellStart"/>
      <w:r w:rsidRPr="00C2704E">
        <w:rPr>
          <w:rFonts w:ascii="Times New Roman" w:hAnsi="Times New Roman" w:cs="Times New Roman"/>
          <w:sz w:val="24"/>
          <w:szCs w:val="24"/>
        </w:rPr>
        <w:t>Tron</w:t>
      </w:r>
      <w:proofErr w:type="spellEnd"/>
      <w:r w:rsidRPr="00C2704E">
        <w:rPr>
          <w:rFonts w:ascii="Times New Roman" w:hAnsi="Times New Roman" w:cs="Times New Roman"/>
          <w:sz w:val="24"/>
          <w:szCs w:val="24"/>
        </w:rPr>
        <w:t xml:space="preserve"> server</w:t>
      </w:r>
      <w:r w:rsidR="004C2E3A" w:rsidRPr="00C2704E">
        <w:rPr>
          <w:rFonts w:ascii="Times New Roman" w:hAnsi="Times New Roman" w:cs="Times New Roman"/>
          <w:sz w:val="24"/>
          <w:szCs w:val="24"/>
        </w:rPr>
        <w:t xml:space="preserve"> </w:t>
      </w:r>
      <w:r w:rsidRPr="00C2704E">
        <w:rPr>
          <w:rFonts w:ascii="Times New Roman" w:hAnsi="Times New Roman" w:cs="Times New Roman"/>
          <w:sz w:val="24"/>
          <w:szCs w:val="24"/>
        </w:rPr>
        <w:t xml:space="preserve">as followed traditionally. In this case the cost of Atlantic bundle will be $2000. The second strategy is the competition based pricing strategy </w:t>
      </w:r>
      <w:r w:rsidR="004C2E3A" w:rsidRPr="00C2704E">
        <w:rPr>
          <w:rFonts w:ascii="Times New Roman" w:hAnsi="Times New Roman" w:cs="Times New Roman"/>
          <w:sz w:val="24"/>
          <w:szCs w:val="24"/>
        </w:rPr>
        <w:t xml:space="preserve">whereby a single Atlantic bundle can provide service of 4 basic servers. The cost of one Atlantic server will be $3400. Cost-plus pricing is the third strategy whose cost is $2245 (see calculations in exhibit). The last strategy is the value-in pricing strategy whose cost is $4200 (exhibit). </w:t>
      </w:r>
      <w:r w:rsidR="00DD10FC" w:rsidRPr="00C2704E">
        <w:rPr>
          <w:rFonts w:ascii="Times New Roman" w:hAnsi="Times New Roman" w:cs="Times New Roman"/>
          <w:sz w:val="24"/>
          <w:szCs w:val="24"/>
        </w:rPr>
        <w:t xml:space="preserve"> From the break even analysis, the contribution margin will easily be attained through this strategy, thus it is the best to be used. </w:t>
      </w:r>
    </w:p>
    <w:p w:rsidR="004C2E3A" w:rsidRPr="00C2704E" w:rsidRDefault="004C2E3A" w:rsidP="00D87AEA">
      <w:pPr>
        <w:rPr>
          <w:rFonts w:ascii="Times New Roman" w:hAnsi="Times New Roman" w:cs="Times New Roman"/>
          <w:b/>
          <w:sz w:val="24"/>
          <w:szCs w:val="24"/>
        </w:rPr>
      </w:pPr>
      <w:r w:rsidRPr="00C2704E">
        <w:rPr>
          <w:rFonts w:ascii="Times New Roman" w:hAnsi="Times New Roman" w:cs="Times New Roman"/>
          <w:b/>
          <w:sz w:val="24"/>
          <w:szCs w:val="24"/>
        </w:rPr>
        <w:t>Recommendation</w:t>
      </w:r>
    </w:p>
    <w:p w:rsidR="004C2E3A" w:rsidRPr="00C2704E" w:rsidRDefault="004C2E3A" w:rsidP="00D87AEA">
      <w:pPr>
        <w:rPr>
          <w:rFonts w:ascii="Times New Roman" w:hAnsi="Times New Roman" w:cs="Times New Roman"/>
          <w:sz w:val="24"/>
          <w:szCs w:val="24"/>
        </w:rPr>
      </w:pPr>
      <w:r w:rsidRPr="00C2704E">
        <w:rPr>
          <w:rFonts w:ascii="Times New Roman" w:hAnsi="Times New Roman" w:cs="Times New Roman"/>
          <w:sz w:val="24"/>
          <w:szCs w:val="24"/>
        </w:rPr>
        <w:t>The best pricing strategy for Jowers is value-in</w:t>
      </w:r>
      <w:r w:rsidR="007F395B" w:rsidRPr="00C2704E">
        <w:rPr>
          <w:rFonts w:ascii="Times New Roman" w:hAnsi="Times New Roman" w:cs="Times New Roman"/>
          <w:sz w:val="24"/>
          <w:szCs w:val="24"/>
        </w:rPr>
        <w:t xml:space="preserve">.  This strategy is the one that will bring maximum profit to Jowers. </w:t>
      </w:r>
      <w:r w:rsidRPr="00C2704E">
        <w:rPr>
          <w:rFonts w:ascii="Times New Roman" w:hAnsi="Times New Roman" w:cs="Times New Roman"/>
          <w:sz w:val="24"/>
          <w:szCs w:val="24"/>
        </w:rPr>
        <w:t xml:space="preserve"> </w:t>
      </w:r>
    </w:p>
    <w:p w:rsidR="007F395B" w:rsidRPr="00C2704E" w:rsidRDefault="007F395B" w:rsidP="00D87AEA">
      <w:pPr>
        <w:rPr>
          <w:rFonts w:ascii="Times New Roman" w:hAnsi="Times New Roman" w:cs="Times New Roman"/>
          <w:sz w:val="24"/>
          <w:szCs w:val="24"/>
        </w:rPr>
      </w:pPr>
      <w:r w:rsidRPr="00C2704E">
        <w:rPr>
          <w:rFonts w:ascii="Times New Roman" w:hAnsi="Times New Roman" w:cs="Times New Roman"/>
          <w:sz w:val="24"/>
          <w:szCs w:val="24"/>
        </w:rPr>
        <w:t xml:space="preserve">The contribution margin analysis (see exhibit) shows that break even will be more easily attained in value in use package. </w:t>
      </w:r>
      <w:r w:rsidR="00C2704E" w:rsidRPr="00C2704E">
        <w:rPr>
          <w:rFonts w:ascii="Times New Roman" w:hAnsi="Times New Roman" w:cs="Times New Roman"/>
          <w:sz w:val="24"/>
          <w:szCs w:val="24"/>
        </w:rPr>
        <w:t xml:space="preserve"> This means that the value-in strategy is the best to use. </w:t>
      </w:r>
    </w:p>
    <w:p w:rsidR="007F395B" w:rsidRPr="00C2704E" w:rsidRDefault="007F395B" w:rsidP="00D87AEA">
      <w:pPr>
        <w:rPr>
          <w:rFonts w:ascii="Times New Roman" w:hAnsi="Times New Roman" w:cs="Times New Roman"/>
          <w:b/>
          <w:sz w:val="24"/>
          <w:szCs w:val="24"/>
        </w:rPr>
      </w:pPr>
      <w:r w:rsidRPr="00C2704E">
        <w:rPr>
          <w:rFonts w:ascii="Times New Roman" w:hAnsi="Times New Roman" w:cs="Times New Roman"/>
          <w:b/>
          <w:sz w:val="24"/>
          <w:szCs w:val="24"/>
        </w:rPr>
        <w:t>Assumptions</w:t>
      </w:r>
    </w:p>
    <w:p w:rsidR="007F395B" w:rsidRPr="00C2704E" w:rsidRDefault="006A5ADA" w:rsidP="00D87AEA">
      <w:pPr>
        <w:rPr>
          <w:rFonts w:ascii="Times New Roman" w:hAnsi="Times New Roman" w:cs="Times New Roman"/>
          <w:sz w:val="24"/>
          <w:szCs w:val="24"/>
        </w:rPr>
      </w:pPr>
      <w:r w:rsidRPr="00C2704E">
        <w:rPr>
          <w:rFonts w:ascii="Times New Roman" w:hAnsi="Times New Roman" w:cs="Times New Roman"/>
          <w:sz w:val="24"/>
          <w:szCs w:val="24"/>
        </w:rPr>
        <w:t xml:space="preserve">One of the assumptions is that the best pricing strategy is the one that with the highest cost of Atlantic bundle. The other assumption is that the all other factors that affect the price will remain constant. </w:t>
      </w:r>
    </w:p>
    <w:p w:rsidR="003B56ED" w:rsidRPr="003B56ED" w:rsidRDefault="003B56ED" w:rsidP="00D87AEA">
      <w:pPr>
        <w:rPr>
          <w:rFonts w:ascii="Times New Roman" w:hAnsi="Times New Roman" w:cs="Times New Roman"/>
          <w:b/>
          <w:sz w:val="24"/>
          <w:szCs w:val="24"/>
        </w:rPr>
      </w:pPr>
      <w:r w:rsidRPr="003B56ED">
        <w:rPr>
          <w:rFonts w:ascii="Times New Roman" w:hAnsi="Times New Roman" w:cs="Times New Roman"/>
          <w:b/>
          <w:sz w:val="24"/>
          <w:szCs w:val="24"/>
        </w:rPr>
        <w:t>Next step</w:t>
      </w:r>
    </w:p>
    <w:p w:rsidR="003B56ED" w:rsidRPr="00C2704E" w:rsidRDefault="003B56ED" w:rsidP="00D87AEA">
      <w:pPr>
        <w:rPr>
          <w:rFonts w:ascii="Times New Roman" w:hAnsi="Times New Roman" w:cs="Times New Roman"/>
          <w:sz w:val="24"/>
          <w:szCs w:val="24"/>
        </w:rPr>
      </w:pPr>
      <w:r>
        <w:rPr>
          <w:rFonts w:ascii="Times New Roman" w:hAnsi="Times New Roman" w:cs="Times New Roman"/>
          <w:sz w:val="24"/>
          <w:szCs w:val="24"/>
        </w:rPr>
        <w:t xml:space="preserve">Basically, the only step is by implementing the proposed strategy (value-in). </w:t>
      </w:r>
    </w:p>
    <w:p w:rsidR="009848E4" w:rsidRPr="00C2704E" w:rsidRDefault="009848E4" w:rsidP="00D87AEA">
      <w:pPr>
        <w:rPr>
          <w:rFonts w:ascii="Times New Roman" w:hAnsi="Times New Roman" w:cs="Times New Roman"/>
          <w:sz w:val="24"/>
          <w:szCs w:val="24"/>
        </w:rPr>
      </w:pPr>
      <w:bookmarkStart w:id="0" w:name="_GoBack"/>
      <w:bookmarkEnd w:id="0"/>
    </w:p>
    <w:p w:rsidR="002E34BB" w:rsidRPr="00C2704E" w:rsidRDefault="002E34BB" w:rsidP="00DD10FC">
      <w:pPr>
        <w:jc w:val="center"/>
        <w:rPr>
          <w:rFonts w:ascii="Times New Roman" w:hAnsi="Times New Roman" w:cs="Times New Roman"/>
          <w:b/>
          <w:sz w:val="24"/>
          <w:szCs w:val="24"/>
        </w:rPr>
      </w:pPr>
      <w:r w:rsidRPr="00C2704E">
        <w:rPr>
          <w:rFonts w:ascii="Times New Roman" w:hAnsi="Times New Roman" w:cs="Times New Roman"/>
          <w:b/>
          <w:sz w:val="24"/>
          <w:szCs w:val="24"/>
        </w:rPr>
        <w:lastRenderedPageBreak/>
        <w:t>Exhibit</w:t>
      </w:r>
    </w:p>
    <w:p w:rsidR="002E34BB" w:rsidRPr="00C2704E" w:rsidRDefault="002E34BB" w:rsidP="002E34BB">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The status quo</w:t>
      </w:r>
    </w:p>
    <w:p w:rsidR="004C2E3A" w:rsidRPr="00C2704E" w:rsidRDefault="002E34BB"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In this</w:t>
      </w:r>
      <w:r w:rsidR="0013038C">
        <w:rPr>
          <w:rFonts w:ascii="Times New Roman" w:hAnsi="Times New Roman" w:cs="Times New Roman"/>
          <w:sz w:val="24"/>
          <w:szCs w:val="24"/>
        </w:rPr>
        <w:t xml:space="preserve"> strategy,</w:t>
      </w:r>
      <w:r w:rsidRPr="00C2704E">
        <w:rPr>
          <w:rFonts w:ascii="Times New Roman" w:hAnsi="Times New Roman" w:cs="Times New Roman"/>
          <w:sz w:val="24"/>
          <w:szCs w:val="24"/>
        </w:rPr>
        <w:t xml:space="preserve"> PESA will be provided free of cost with the </w:t>
      </w:r>
      <w:proofErr w:type="spellStart"/>
      <w:r w:rsidRPr="00C2704E">
        <w:rPr>
          <w:rFonts w:ascii="Times New Roman" w:hAnsi="Times New Roman" w:cs="Times New Roman"/>
          <w:sz w:val="24"/>
          <w:szCs w:val="24"/>
        </w:rPr>
        <w:t>Tron</w:t>
      </w:r>
      <w:proofErr w:type="spellEnd"/>
      <w:r w:rsidRPr="00C2704E">
        <w:rPr>
          <w:rFonts w:ascii="Times New Roman" w:hAnsi="Times New Roman" w:cs="Times New Roman"/>
          <w:sz w:val="24"/>
          <w:szCs w:val="24"/>
        </w:rPr>
        <w:t xml:space="preserve"> server as followed traditionally. Cost of </w:t>
      </w:r>
      <w:r w:rsidRPr="00C2704E">
        <w:rPr>
          <w:rFonts w:ascii="Times New Roman" w:hAnsi="Times New Roman" w:cs="Times New Roman"/>
          <w:sz w:val="24"/>
          <w:szCs w:val="24"/>
        </w:rPr>
        <w:t>Atlantic</w:t>
      </w:r>
      <w:r w:rsidRPr="00C2704E">
        <w:rPr>
          <w:rFonts w:ascii="Times New Roman" w:hAnsi="Times New Roman" w:cs="Times New Roman"/>
          <w:sz w:val="24"/>
          <w:szCs w:val="24"/>
        </w:rPr>
        <w:t xml:space="preserve"> bundle = $2000</w:t>
      </w:r>
      <w:r w:rsidR="006A5ADA" w:rsidRPr="00C2704E">
        <w:rPr>
          <w:rFonts w:ascii="Times New Roman" w:hAnsi="Times New Roman" w:cs="Times New Roman"/>
          <w:sz w:val="24"/>
          <w:szCs w:val="24"/>
        </w:rPr>
        <w:tab/>
      </w:r>
    </w:p>
    <w:p w:rsidR="002E34BB" w:rsidRPr="00C2704E" w:rsidRDefault="002E34BB" w:rsidP="002E34BB">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Competition based pricing</w:t>
      </w:r>
    </w:p>
    <w:p w:rsidR="002E34BB" w:rsidRPr="00C2704E" w:rsidRDefault="0013038C" w:rsidP="002E34BB">
      <w:pPr>
        <w:tabs>
          <w:tab w:val="left" w:pos="1080"/>
        </w:tabs>
        <w:rPr>
          <w:rFonts w:ascii="Times New Roman" w:hAnsi="Times New Roman" w:cs="Times New Roman"/>
          <w:sz w:val="24"/>
          <w:szCs w:val="24"/>
        </w:rPr>
      </w:pPr>
      <w:r>
        <w:rPr>
          <w:rFonts w:ascii="Times New Roman" w:hAnsi="Times New Roman" w:cs="Times New Roman"/>
          <w:sz w:val="24"/>
          <w:szCs w:val="24"/>
        </w:rPr>
        <w:t xml:space="preserve">In this case, </w:t>
      </w:r>
      <w:r w:rsidR="002E34BB" w:rsidRPr="00C2704E">
        <w:rPr>
          <w:rFonts w:ascii="Times New Roman" w:hAnsi="Times New Roman" w:cs="Times New Roman"/>
          <w:sz w:val="24"/>
          <w:szCs w:val="24"/>
        </w:rPr>
        <w:t>1 Atlantic bundle can provide service of 4 basic servers.</w:t>
      </w:r>
    </w:p>
    <w:p w:rsidR="002E34BB" w:rsidRPr="00C2704E" w:rsidRDefault="002E34BB"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 xml:space="preserve">But since </w:t>
      </w:r>
      <w:proofErr w:type="spellStart"/>
      <w:r w:rsidRPr="00C2704E">
        <w:rPr>
          <w:rFonts w:ascii="Times New Roman" w:hAnsi="Times New Roman" w:cs="Times New Roman"/>
          <w:sz w:val="24"/>
          <w:szCs w:val="24"/>
        </w:rPr>
        <w:t>Matzer</w:t>
      </w:r>
      <w:proofErr w:type="spellEnd"/>
      <w:r w:rsidRPr="00C2704E">
        <w:rPr>
          <w:rFonts w:ascii="Times New Roman" w:hAnsi="Times New Roman" w:cs="Times New Roman"/>
          <w:sz w:val="24"/>
          <w:szCs w:val="24"/>
        </w:rPr>
        <w:t xml:space="preserve"> and </w:t>
      </w:r>
      <w:r w:rsidR="00DD10FC" w:rsidRPr="00C2704E">
        <w:rPr>
          <w:rFonts w:ascii="Times New Roman" w:hAnsi="Times New Roman" w:cs="Times New Roman"/>
          <w:sz w:val="24"/>
          <w:szCs w:val="24"/>
        </w:rPr>
        <w:t>colleagues</w:t>
      </w:r>
      <w:r w:rsidRPr="00C2704E">
        <w:rPr>
          <w:rFonts w:ascii="Times New Roman" w:hAnsi="Times New Roman" w:cs="Times New Roman"/>
          <w:sz w:val="24"/>
          <w:szCs w:val="24"/>
        </w:rPr>
        <w:t xml:space="preserve"> were conservative we are comparing performance of 2 </w:t>
      </w:r>
      <w:proofErr w:type="spellStart"/>
      <w:r w:rsidRPr="00C2704E">
        <w:rPr>
          <w:rFonts w:ascii="Times New Roman" w:hAnsi="Times New Roman" w:cs="Times New Roman"/>
          <w:sz w:val="24"/>
          <w:szCs w:val="24"/>
        </w:rPr>
        <w:t>Tron</w:t>
      </w:r>
      <w:proofErr w:type="spellEnd"/>
      <w:r w:rsidRPr="00C2704E">
        <w:rPr>
          <w:rFonts w:ascii="Times New Roman" w:hAnsi="Times New Roman" w:cs="Times New Roman"/>
          <w:sz w:val="24"/>
          <w:szCs w:val="24"/>
        </w:rPr>
        <w:t xml:space="preserve"> </w:t>
      </w:r>
      <w:proofErr w:type="gramStart"/>
      <w:r w:rsidRPr="00C2704E">
        <w:rPr>
          <w:rFonts w:ascii="Times New Roman" w:hAnsi="Times New Roman" w:cs="Times New Roman"/>
          <w:sz w:val="24"/>
          <w:szCs w:val="24"/>
        </w:rPr>
        <w:t>server</w:t>
      </w:r>
      <w:proofErr w:type="gramEnd"/>
      <w:r w:rsidRPr="00C2704E">
        <w:rPr>
          <w:rFonts w:ascii="Times New Roman" w:hAnsi="Times New Roman" w:cs="Times New Roman"/>
          <w:sz w:val="24"/>
          <w:szCs w:val="24"/>
        </w:rPr>
        <w:t xml:space="preserve"> with 4 Zink server</w:t>
      </w:r>
    </w:p>
    <w:p w:rsidR="002E34BB" w:rsidRPr="00C2704E" w:rsidRDefault="002E34BB"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Price of 1 Zink server = $1700</w:t>
      </w:r>
    </w:p>
    <w:p w:rsidR="002E34BB" w:rsidRPr="00C2704E" w:rsidRDefault="002E34BB"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Price of 4 Zinc server= $1700*4=$6800</w:t>
      </w:r>
      <w:r w:rsidR="0013038C">
        <w:rPr>
          <w:rFonts w:ascii="Times New Roman" w:hAnsi="Times New Roman" w:cs="Times New Roman"/>
          <w:sz w:val="24"/>
          <w:szCs w:val="24"/>
        </w:rPr>
        <w:t>.</w:t>
      </w:r>
      <w:r w:rsidRPr="00C2704E">
        <w:rPr>
          <w:rFonts w:ascii="Times New Roman" w:hAnsi="Times New Roman" w:cs="Times New Roman"/>
          <w:sz w:val="24"/>
          <w:szCs w:val="24"/>
        </w:rPr>
        <w:t xml:space="preserve"> Therefore</w:t>
      </w:r>
      <w:r w:rsidR="0013038C">
        <w:rPr>
          <w:rFonts w:ascii="Times New Roman" w:hAnsi="Times New Roman" w:cs="Times New Roman"/>
          <w:sz w:val="24"/>
          <w:szCs w:val="24"/>
        </w:rPr>
        <w:t>,</w:t>
      </w:r>
      <w:r w:rsidRPr="00C2704E">
        <w:rPr>
          <w:rFonts w:ascii="Times New Roman" w:hAnsi="Times New Roman" w:cs="Times New Roman"/>
          <w:sz w:val="24"/>
          <w:szCs w:val="24"/>
        </w:rPr>
        <w:t xml:space="preserve"> two Atlantic </w:t>
      </w:r>
      <w:r w:rsidR="0013038C" w:rsidRPr="00C2704E">
        <w:rPr>
          <w:rFonts w:ascii="Times New Roman" w:hAnsi="Times New Roman" w:cs="Times New Roman"/>
          <w:sz w:val="24"/>
          <w:szCs w:val="24"/>
        </w:rPr>
        <w:t>bundles</w:t>
      </w:r>
      <w:r w:rsidRPr="00C2704E">
        <w:rPr>
          <w:rFonts w:ascii="Times New Roman" w:hAnsi="Times New Roman" w:cs="Times New Roman"/>
          <w:sz w:val="24"/>
          <w:szCs w:val="24"/>
        </w:rPr>
        <w:t xml:space="preserve"> will also cost same</w:t>
      </w:r>
      <w:r w:rsidR="0013038C">
        <w:rPr>
          <w:rFonts w:ascii="Times New Roman" w:hAnsi="Times New Roman" w:cs="Times New Roman"/>
          <w:sz w:val="24"/>
          <w:szCs w:val="24"/>
        </w:rPr>
        <w:t>.</w:t>
      </w:r>
      <w:r w:rsidRPr="00C2704E">
        <w:rPr>
          <w:rFonts w:ascii="Times New Roman" w:hAnsi="Times New Roman" w:cs="Times New Roman"/>
          <w:sz w:val="24"/>
          <w:szCs w:val="24"/>
        </w:rPr>
        <w:t xml:space="preserve"> Cost of one Atlantic server = $6800/2= $3400</w:t>
      </w:r>
    </w:p>
    <w:p w:rsidR="002E34BB" w:rsidRPr="00C2704E" w:rsidRDefault="002E34BB" w:rsidP="002E34BB">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Cost-plus pricing</w:t>
      </w:r>
    </w:p>
    <w:p w:rsidR="002E34BB"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Let’s</w:t>
      </w:r>
      <w:r w:rsidR="002E34BB" w:rsidRPr="00C2704E">
        <w:rPr>
          <w:rFonts w:ascii="Times New Roman" w:hAnsi="Times New Roman" w:cs="Times New Roman"/>
          <w:sz w:val="24"/>
          <w:szCs w:val="24"/>
        </w:rPr>
        <w:t xml:space="preserve"> assume that Atlantic’s share of basic server segment will be $4 in 2001, 9% in 2002, and 14% in 2003. Again assuming that 50% attach rate of PESA that is only 50% installation will have PESA.</w:t>
      </w:r>
    </w:p>
    <w:p w:rsidR="002E34BB" w:rsidRPr="00C2704E" w:rsidRDefault="002E34BB"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R&amp;D = $2000000</w:t>
      </w:r>
    </w:p>
    <w:tbl>
      <w:tblPr>
        <w:tblStyle w:val="TableGrid"/>
        <w:tblW w:w="0" w:type="auto"/>
        <w:tblLook w:val="04A0" w:firstRow="1" w:lastRow="0" w:firstColumn="1" w:lastColumn="0" w:noHBand="0" w:noVBand="1"/>
      </w:tblPr>
      <w:tblGrid>
        <w:gridCol w:w="2358"/>
        <w:gridCol w:w="2340"/>
        <w:gridCol w:w="1620"/>
      </w:tblGrid>
      <w:tr w:rsidR="00DD10FC" w:rsidRPr="00C2704E" w:rsidTr="0013038C">
        <w:trPr>
          <w:trHeight w:val="225"/>
        </w:trPr>
        <w:tc>
          <w:tcPr>
            <w:tcW w:w="2358"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Details/particulars</w:t>
            </w:r>
          </w:p>
        </w:tc>
        <w:tc>
          <w:tcPr>
            <w:tcW w:w="2340" w:type="dxa"/>
          </w:tcPr>
          <w:p w:rsidR="00DD10FC" w:rsidRPr="00C2704E" w:rsidRDefault="00DD10FC" w:rsidP="002E34BB">
            <w:pPr>
              <w:tabs>
                <w:tab w:val="left" w:pos="1080"/>
              </w:tabs>
              <w:rPr>
                <w:rFonts w:ascii="Times New Roman" w:hAnsi="Times New Roman" w:cs="Times New Roman"/>
                <w:sz w:val="24"/>
                <w:szCs w:val="24"/>
              </w:rPr>
            </w:pPr>
          </w:p>
        </w:tc>
        <w:tc>
          <w:tcPr>
            <w:tcW w:w="162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value</w:t>
            </w:r>
          </w:p>
        </w:tc>
      </w:tr>
      <w:tr w:rsidR="00DD10FC" w:rsidRPr="00C2704E" w:rsidTr="0013038C">
        <w:trPr>
          <w:trHeight w:val="225"/>
        </w:trPr>
        <w:tc>
          <w:tcPr>
            <w:tcW w:w="2358"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 xml:space="preserve">Sales after 3 years </w:t>
            </w:r>
          </w:p>
        </w:tc>
        <w:tc>
          <w:tcPr>
            <w:tcW w:w="234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21180</w:t>
            </w:r>
          </w:p>
        </w:tc>
        <w:tc>
          <w:tcPr>
            <w:tcW w:w="162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21180</w:t>
            </w:r>
          </w:p>
        </w:tc>
      </w:tr>
      <w:tr w:rsidR="00DD10FC" w:rsidRPr="00C2704E" w:rsidTr="0013038C">
        <w:trPr>
          <w:trHeight w:val="437"/>
        </w:trPr>
        <w:tc>
          <w:tcPr>
            <w:tcW w:w="2358"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Effective number of units</w:t>
            </w:r>
          </w:p>
        </w:tc>
        <w:tc>
          <w:tcPr>
            <w:tcW w:w="234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10590</w:t>
            </w:r>
          </w:p>
        </w:tc>
        <w:tc>
          <w:tcPr>
            <w:tcW w:w="162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10590</w:t>
            </w:r>
          </w:p>
        </w:tc>
      </w:tr>
      <w:tr w:rsidR="00DD10FC" w:rsidRPr="00C2704E" w:rsidTr="0013038C">
        <w:trPr>
          <w:trHeight w:val="306"/>
        </w:trPr>
        <w:tc>
          <w:tcPr>
            <w:tcW w:w="2358"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R&amp;D cost per unit</w:t>
            </w:r>
          </w:p>
        </w:tc>
        <w:tc>
          <w:tcPr>
            <w:tcW w:w="234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2000000/10590= 189</w:t>
            </w:r>
          </w:p>
        </w:tc>
        <w:tc>
          <w:tcPr>
            <w:tcW w:w="162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189</w:t>
            </w:r>
          </w:p>
        </w:tc>
      </w:tr>
      <w:tr w:rsidR="00DD10FC" w:rsidRPr="00C2704E" w:rsidTr="0013038C">
        <w:trPr>
          <w:trHeight w:val="225"/>
        </w:trPr>
        <w:tc>
          <w:tcPr>
            <w:tcW w:w="2358"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Cost of Atlantic bundle</w:t>
            </w:r>
          </w:p>
        </w:tc>
        <w:tc>
          <w:tcPr>
            <w:tcW w:w="234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1727</w:t>
            </w:r>
          </w:p>
        </w:tc>
        <w:tc>
          <w:tcPr>
            <w:tcW w:w="162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1727</w:t>
            </w:r>
          </w:p>
        </w:tc>
      </w:tr>
      <w:tr w:rsidR="00DD10FC" w:rsidRPr="00C2704E" w:rsidTr="0013038C">
        <w:trPr>
          <w:trHeight w:val="212"/>
        </w:trPr>
        <w:tc>
          <w:tcPr>
            <w:tcW w:w="2358"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Mark up of 30%</w:t>
            </w:r>
          </w:p>
        </w:tc>
        <w:tc>
          <w:tcPr>
            <w:tcW w:w="234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518.1 (0.3*1727)</w:t>
            </w:r>
          </w:p>
        </w:tc>
        <w:tc>
          <w:tcPr>
            <w:tcW w:w="162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518</w:t>
            </w:r>
          </w:p>
        </w:tc>
      </w:tr>
      <w:tr w:rsidR="00DD10FC" w:rsidRPr="00C2704E" w:rsidTr="0013038C">
        <w:trPr>
          <w:trHeight w:val="225"/>
        </w:trPr>
        <w:tc>
          <w:tcPr>
            <w:tcW w:w="2358"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 xml:space="preserve">Total cost </w:t>
            </w:r>
          </w:p>
        </w:tc>
        <w:tc>
          <w:tcPr>
            <w:tcW w:w="2340" w:type="dxa"/>
          </w:tcPr>
          <w:p w:rsidR="00DD10FC"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2245.1 (1727+518.1)</w:t>
            </w:r>
          </w:p>
        </w:tc>
        <w:tc>
          <w:tcPr>
            <w:tcW w:w="1620" w:type="dxa"/>
          </w:tcPr>
          <w:p w:rsidR="00DD10FC" w:rsidRPr="00C2704E" w:rsidRDefault="00C2704E" w:rsidP="002E34BB">
            <w:pPr>
              <w:tabs>
                <w:tab w:val="left" w:pos="1080"/>
              </w:tabs>
              <w:rPr>
                <w:rFonts w:ascii="Times New Roman" w:hAnsi="Times New Roman" w:cs="Times New Roman"/>
                <w:sz w:val="24"/>
                <w:szCs w:val="24"/>
              </w:rPr>
            </w:pPr>
            <w:r>
              <w:rPr>
                <w:rFonts w:ascii="Times New Roman" w:hAnsi="Times New Roman" w:cs="Times New Roman"/>
                <w:sz w:val="24"/>
                <w:szCs w:val="24"/>
              </w:rPr>
              <w:t>2245</w:t>
            </w:r>
          </w:p>
        </w:tc>
      </w:tr>
      <w:tr w:rsidR="00DD10FC" w:rsidRPr="00C2704E" w:rsidTr="0013038C">
        <w:trPr>
          <w:trHeight w:val="225"/>
        </w:trPr>
        <w:tc>
          <w:tcPr>
            <w:tcW w:w="2358" w:type="dxa"/>
          </w:tcPr>
          <w:p w:rsidR="00DD10FC" w:rsidRPr="00C2704E" w:rsidRDefault="00DD10FC" w:rsidP="002E34BB">
            <w:pPr>
              <w:tabs>
                <w:tab w:val="left" w:pos="1080"/>
              </w:tabs>
              <w:rPr>
                <w:rFonts w:ascii="Times New Roman" w:hAnsi="Times New Roman" w:cs="Times New Roman"/>
                <w:sz w:val="24"/>
                <w:szCs w:val="24"/>
              </w:rPr>
            </w:pPr>
          </w:p>
        </w:tc>
        <w:tc>
          <w:tcPr>
            <w:tcW w:w="2340" w:type="dxa"/>
          </w:tcPr>
          <w:p w:rsidR="00DD10FC" w:rsidRPr="00C2704E" w:rsidRDefault="00DD10FC" w:rsidP="002E34BB">
            <w:pPr>
              <w:tabs>
                <w:tab w:val="left" w:pos="1080"/>
              </w:tabs>
              <w:rPr>
                <w:rFonts w:ascii="Times New Roman" w:hAnsi="Times New Roman" w:cs="Times New Roman"/>
                <w:sz w:val="24"/>
                <w:szCs w:val="24"/>
              </w:rPr>
            </w:pPr>
          </w:p>
        </w:tc>
        <w:tc>
          <w:tcPr>
            <w:tcW w:w="1620" w:type="dxa"/>
          </w:tcPr>
          <w:p w:rsidR="00DD10FC" w:rsidRPr="00C2704E" w:rsidRDefault="00DD10FC" w:rsidP="002E34BB">
            <w:pPr>
              <w:tabs>
                <w:tab w:val="left" w:pos="1080"/>
              </w:tabs>
              <w:rPr>
                <w:rFonts w:ascii="Times New Roman" w:hAnsi="Times New Roman" w:cs="Times New Roman"/>
                <w:sz w:val="24"/>
                <w:szCs w:val="24"/>
              </w:rPr>
            </w:pPr>
          </w:p>
        </w:tc>
      </w:tr>
    </w:tbl>
    <w:p w:rsidR="002E34BB" w:rsidRPr="00C2704E" w:rsidRDefault="002E34BB" w:rsidP="002E34BB">
      <w:pPr>
        <w:tabs>
          <w:tab w:val="left" w:pos="1080"/>
        </w:tabs>
        <w:rPr>
          <w:rFonts w:ascii="Times New Roman" w:hAnsi="Times New Roman" w:cs="Times New Roman"/>
          <w:sz w:val="24"/>
          <w:szCs w:val="24"/>
        </w:rPr>
      </w:pPr>
    </w:p>
    <w:p w:rsidR="00FD4509" w:rsidRPr="00C2704E" w:rsidRDefault="00FD4509" w:rsidP="002E34BB">
      <w:pPr>
        <w:tabs>
          <w:tab w:val="left" w:pos="1080"/>
        </w:tabs>
        <w:rPr>
          <w:rFonts w:ascii="Times New Roman" w:hAnsi="Times New Roman" w:cs="Times New Roman"/>
          <w:sz w:val="24"/>
          <w:szCs w:val="24"/>
        </w:rPr>
      </w:pPr>
    </w:p>
    <w:p w:rsidR="00FD4509" w:rsidRPr="00C2704E" w:rsidRDefault="00FD4509" w:rsidP="00FD4509">
      <w:pPr>
        <w:tabs>
          <w:tab w:val="left" w:pos="1080"/>
        </w:tabs>
        <w:rPr>
          <w:rFonts w:ascii="Times New Roman" w:hAnsi="Times New Roman" w:cs="Times New Roman"/>
          <w:sz w:val="24"/>
          <w:szCs w:val="24"/>
        </w:rPr>
      </w:pPr>
    </w:p>
    <w:p w:rsidR="00FD4509" w:rsidRPr="00C2704E" w:rsidRDefault="00FD4509" w:rsidP="00CF2FA6">
      <w:pPr>
        <w:tabs>
          <w:tab w:val="left" w:pos="1080"/>
        </w:tabs>
        <w:jc w:val="center"/>
        <w:rPr>
          <w:rFonts w:ascii="Times New Roman" w:hAnsi="Times New Roman" w:cs="Times New Roman"/>
          <w:b/>
          <w:sz w:val="24"/>
          <w:szCs w:val="24"/>
        </w:rPr>
      </w:pPr>
      <w:r w:rsidRPr="00C2704E">
        <w:rPr>
          <w:rFonts w:ascii="Times New Roman" w:hAnsi="Times New Roman" w:cs="Times New Roman"/>
          <w:b/>
          <w:sz w:val="24"/>
          <w:szCs w:val="24"/>
        </w:rPr>
        <w:t>Value-in Pricing</w:t>
      </w:r>
    </w:p>
    <w:tbl>
      <w:tblPr>
        <w:tblW w:w="0" w:type="auto"/>
        <w:tblInd w:w="72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857"/>
        <w:gridCol w:w="1692"/>
        <w:gridCol w:w="1410"/>
        <w:gridCol w:w="1263"/>
      </w:tblGrid>
      <w:tr w:rsidR="00FD4509" w:rsidRPr="00C2704E" w:rsidTr="001E0C36">
        <w:trPr>
          <w:trHeight w:val="636"/>
        </w:trPr>
        <w:tc>
          <w:tcPr>
            <w:tcW w:w="1857"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p>
        </w:tc>
        <w:tc>
          <w:tcPr>
            <w:tcW w:w="1692"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Cost per server</w:t>
            </w:r>
          </w:p>
        </w:tc>
        <w:tc>
          <w:tcPr>
            <w:tcW w:w="1410"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 xml:space="preserve">2 </w:t>
            </w:r>
            <w:proofErr w:type="spellStart"/>
            <w:r w:rsidR="00BD35E7" w:rsidRPr="00C2704E">
              <w:rPr>
                <w:rFonts w:ascii="Times New Roman" w:hAnsi="Times New Roman" w:cs="Times New Roman"/>
                <w:b/>
                <w:sz w:val="24"/>
                <w:szCs w:val="24"/>
              </w:rPr>
              <w:t>Tro</w:t>
            </w:r>
            <w:r w:rsidRPr="00C2704E">
              <w:rPr>
                <w:rFonts w:ascii="Times New Roman" w:hAnsi="Times New Roman" w:cs="Times New Roman"/>
                <w:b/>
                <w:sz w:val="24"/>
                <w:szCs w:val="24"/>
              </w:rPr>
              <w:t>n</w:t>
            </w:r>
            <w:proofErr w:type="spellEnd"/>
            <w:r w:rsidRPr="00C2704E">
              <w:rPr>
                <w:rFonts w:ascii="Times New Roman" w:hAnsi="Times New Roman" w:cs="Times New Roman"/>
                <w:b/>
                <w:sz w:val="24"/>
                <w:szCs w:val="24"/>
              </w:rPr>
              <w:t xml:space="preserve"> server</w:t>
            </w:r>
          </w:p>
        </w:tc>
        <w:tc>
          <w:tcPr>
            <w:tcW w:w="1263"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 xml:space="preserve">4 Zink </w:t>
            </w:r>
            <w:r w:rsidRPr="00C2704E">
              <w:rPr>
                <w:rFonts w:ascii="Times New Roman" w:hAnsi="Times New Roman" w:cs="Times New Roman"/>
                <w:b/>
                <w:sz w:val="24"/>
                <w:szCs w:val="24"/>
              </w:rPr>
              <w:lastRenderedPageBreak/>
              <w:t>Server</w:t>
            </w:r>
          </w:p>
        </w:tc>
      </w:tr>
      <w:tr w:rsidR="00FD4509" w:rsidRPr="00C2704E" w:rsidTr="001E0C36">
        <w:trPr>
          <w:trHeight w:val="1047"/>
        </w:trPr>
        <w:tc>
          <w:tcPr>
            <w:tcW w:w="1857"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lastRenderedPageBreak/>
              <w:t>Price of server</w:t>
            </w:r>
          </w:p>
        </w:tc>
        <w:tc>
          <w:tcPr>
            <w:tcW w:w="1692"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proofErr w:type="spellStart"/>
            <w:r w:rsidRPr="00C2704E">
              <w:rPr>
                <w:rFonts w:ascii="Times New Roman" w:hAnsi="Times New Roman" w:cs="Times New Roman"/>
                <w:sz w:val="24"/>
                <w:szCs w:val="24"/>
              </w:rPr>
              <w:t>Tronn</w:t>
            </w:r>
            <w:proofErr w:type="spellEnd"/>
            <w:r w:rsidRPr="00C2704E">
              <w:rPr>
                <w:rFonts w:ascii="Times New Roman" w:hAnsi="Times New Roman" w:cs="Times New Roman"/>
                <w:sz w:val="24"/>
                <w:szCs w:val="24"/>
              </w:rPr>
              <w:t xml:space="preserve"> =$2000</w:t>
            </w:r>
          </w:p>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Zink = $1700</w:t>
            </w:r>
          </w:p>
        </w:tc>
        <w:tc>
          <w:tcPr>
            <w:tcW w:w="1410"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4000</w:t>
            </w:r>
          </w:p>
        </w:tc>
        <w:tc>
          <w:tcPr>
            <w:tcW w:w="1263"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6800</w:t>
            </w:r>
          </w:p>
        </w:tc>
      </w:tr>
      <w:tr w:rsidR="00FD4509" w:rsidRPr="00C2704E" w:rsidTr="001E0C36">
        <w:trPr>
          <w:trHeight w:val="402"/>
        </w:trPr>
        <w:tc>
          <w:tcPr>
            <w:tcW w:w="1857"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Electricity</w:t>
            </w:r>
          </w:p>
        </w:tc>
        <w:tc>
          <w:tcPr>
            <w:tcW w:w="1692"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250</w:t>
            </w:r>
          </w:p>
        </w:tc>
        <w:tc>
          <w:tcPr>
            <w:tcW w:w="1410"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500</w:t>
            </w:r>
          </w:p>
        </w:tc>
        <w:tc>
          <w:tcPr>
            <w:tcW w:w="1263"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1000</w:t>
            </w:r>
          </w:p>
        </w:tc>
      </w:tr>
      <w:tr w:rsidR="00FD4509" w:rsidRPr="00C2704E" w:rsidTr="001E0C36">
        <w:trPr>
          <w:trHeight w:val="405"/>
        </w:trPr>
        <w:tc>
          <w:tcPr>
            <w:tcW w:w="1857"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Software cost</w:t>
            </w:r>
          </w:p>
        </w:tc>
        <w:tc>
          <w:tcPr>
            <w:tcW w:w="1692"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750</w:t>
            </w:r>
          </w:p>
        </w:tc>
        <w:tc>
          <w:tcPr>
            <w:tcW w:w="1410"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1500</w:t>
            </w:r>
          </w:p>
        </w:tc>
        <w:tc>
          <w:tcPr>
            <w:tcW w:w="1263"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3000</w:t>
            </w:r>
          </w:p>
        </w:tc>
      </w:tr>
      <w:tr w:rsidR="00FD4509" w:rsidRPr="00C2704E" w:rsidTr="001E0C36">
        <w:trPr>
          <w:trHeight w:val="1002"/>
        </w:trPr>
        <w:tc>
          <w:tcPr>
            <w:tcW w:w="1852" w:type="dxa"/>
            <w:tcBorders>
              <w:left w:val="single" w:sz="4" w:space="0" w:color="000009"/>
              <w:right w:val="single" w:sz="4" w:space="0" w:color="000009"/>
            </w:tcBorders>
          </w:tcPr>
          <w:p w:rsidR="00FD4509" w:rsidRPr="00C2704E" w:rsidRDefault="001E0C36"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L</w:t>
            </w:r>
            <w:r w:rsidR="00FD4509" w:rsidRPr="00C2704E">
              <w:rPr>
                <w:rFonts w:ascii="Times New Roman" w:hAnsi="Times New Roman" w:cs="Times New Roman"/>
                <w:b/>
                <w:sz w:val="24"/>
                <w:szCs w:val="24"/>
              </w:rPr>
              <w:t>abour</w:t>
            </w:r>
          </w:p>
          <w:p w:rsidR="001E0C36" w:rsidRPr="00C2704E" w:rsidRDefault="001E0C36" w:rsidP="00FD4509">
            <w:pPr>
              <w:tabs>
                <w:tab w:val="left" w:pos="1080"/>
              </w:tabs>
              <w:rPr>
                <w:rFonts w:ascii="Times New Roman" w:hAnsi="Times New Roman" w:cs="Times New Roman"/>
                <w:b/>
                <w:sz w:val="24"/>
                <w:szCs w:val="24"/>
              </w:rPr>
            </w:pPr>
            <w:r w:rsidRPr="00C2704E">
              <w:rPr>
                <w:rFonts w:ascii="Times New Roman" w:hAnsi="Times New Roman" w:cs="Times New Roman"/>
                <w:b/>
                <w:color w:val="00B0F0"/>
                <w:sz w:val="24"/>
                <w:szCs w:val="24"/>
              </w:rPr>
              <w:t xml:space="preserve">Total cost </w:t>
            </w:r>
          </w:p>
        </w:tc>
        <w:tc>
          <w:tcPr>
            <w:tcW w:w="1692"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$80000/40=2000</w:t>
            </w:r>
          </w:p>
          <w:p w:rsidR="001E0C36" w:rsidRPr="00C2704E" w:rsidRDefault="001E0C36" w:rsidP="00FD4509">
            <w:pPr>
              <w:tabs>
                <w:tab w:val="left" w:pos="1080"/>
              </w:tabs>
              <w:rPr>
                <w:rFonts w:ascii="Times New Roman" w:hAnsi="Times New Roman" w:cs="Times New Roman"/>
                <w:sz w:val="24"/>
                <w:szCs w:val="24"/>
              </w:rPr>
            </w:pPr>
          </w:p>
        </w:tc>
        <w:tc>
          <w:tcPr>
            <w:tcW w:w="1410"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4000</w:t>
            </w:r>
          </w:p>
          <w:p w:rsidR="001E0C36" w:rsidRPr="00C2704E" w:rsidRDefault="001E0C36" w:rsidP="00FD4509">
            <w:pPr>
              <w:tabs>
                <w:tab w:val="left" w:pos="1080"/>
              </w:tabs>
              <w:rPr>
                <w:rFonts w:ascii="Times New Roman" w:hAnsi="Times New Roman" w:cs="Times New Roman"/>
                <w:sz w:val="24"/>
                <w:szCs w:val="24"/>
              </w:rPr>
            </w:pPr>
            <w:r w:rsidRPr="00C2704E">
              <w:rPr>
                <w:rFonts w:ascii="Times New Roman" w:hAnsi="Times New Roman" w:cs="Times New Roman"/>
                <w:color w:val="00B0F0"/>
                <w:sz w:val="24"/>
                <w:szCs w:val="24"/>
              </w:rPr>
              <w:t>10000</w:t>
            </w:r>
          </w:p>
        </w:tc>
        <w:tc>
          <w:tcPr>
            <w:tcW w:w="1263"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8000</w:t>
            </w:r>
          </w:p>
          <w:p w:rsidR="001E0C36" w:rsidRPr="00C2704E" w:rsidRDefault="001E0C36" w:rsidP="00FD4509">
            <w:pPr>
              <w:tabs>
                <w:tab w:val="left" w:pos="1080"/>
              </w:tabs>
              <w:rPr>
                <w:rFonts w:ascii="Times New Roman" w:hAnsi="Times New Roman" w:cs="Times New Roman"/>
                <w:sz w:val="24"/>
                <w:szCs w:val="24"/>
              </w:rPr>
            </w:pPr>
            <w:r w:rsidRPr="00C2704E">
              <w:rPr>
                <w:rFonts w:ascii="Times New Roman" w:hAnsi="Times New Roman" w:cs="Times New Roman"/>
                <w:color w:val="00B0F0"/>
                <w:sz w:val="24"/>
                <w:szCs w:val="24"/>
              </w:rPr>
              <w:t>18800</w:t>
            </w:r>
          </w:p>
        </w:tc>
      </w:tr>
      <w:tr w:rsidR="00FD4509" w:rsidRPr="00C2704E" w:rsidTr="001E0C36">
        <w:trPr>
          <w:trHeight w:val="813"/>
        </w:trPr>
        <w:tc>
          <w:tcPr>
            <w:tcW w:w="1857"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Relative Savings</w:t>
            </w:r>
          </w:p>
        </w:tc>
        <w:tc>
          <w:tcPr>
            <w:tcW w:w="1692"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p>
        </w:tc>
        <w:tc>
          <w:tcPr>
            <w:tcW w:w="1410"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18800-10000</w:t>
            </w:r>
          </w:p>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=8800</w:t>
            </w:r>
          </w:p>
        </w:tc>
        <w:tc>
          <w:tcPr>
            <w:tcW w:w="1263"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0</w:t>
            </w:r>
          </w:p>
        </w:tc>
      </w:tr>
      <w:tr w:rsidR="00FD4509" w:rsidRPr="00C2704E" w:rsidTr="001E0C36">
        <w:trPr>
          <w:trHeight w:val="636"/>
        </w:trPr>
        <w:tc>
          <w:tcPr>
            <w:tcW w:w="1857"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50-50 cost sharing</w:t>
            </w:r>
          </w:p>
          <w:p w:rsidR="001E0C36" w:rsidRPr="00C2704E" w:rsidRDefault="001E0C36" w:rsidP="00FD4509">
            <w:pPr>
              <w:tabs>
                <w:tab w:val="left" w:pos="1080"/>
              </w:tabs>
              <w:rPr>
                <w:rFonts w:ascii="Times New Roman" w:hAnsi="Times New Roman" w:cs="Times New Roman"/>
                <w:b/>
                <w:sz w:val="24"/>
                <w:szCs w:val="24"/>
              </w:rPr>
            </w:pPr>
            <w:r w:rsidRPr="00C2704E">
              <w:rPr>
                <w:rFonts w:ascii="Times New Roman" w:hAnsi="Times New Roman" w:cs="Times New Roman"/>
                <w:b/>
                <w:color w:val="00B0F0"/>
                <w:sz w:val="24"/>
                <w:szCs w:val="24"/>
              </w:rPr>
              <w:t>Effective cost</w:t>
            </w:r>
          </w:p>
        </w:tc>
        <w:tc>
          <w:tcPr>
            <w:tcW w:w="1692"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p>
        </w:tc>
        <w:tc>
          <w:tcPr>
            <w:tcW w:w="1410"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4400</w:t>
            </w:r>
          </w:p>
          <w:p w:rsidR="001E0C36" w:rsidRPr="00C2704E" w:rsidRDefault="001E0C36" w:rsidP="00FD4509">
            <w:pPr>
              <w:tabs>
                <w:tab w:val="left" w:pos="1080"/>
              </w:tabs>
              <w:rPr>
                <w:rFonts w:ascii="Times New Roman" w:hAnsi="Times New Roman" w:cs="Times New Roman"/>
                <w:sz w:val="24"/>
                <w:szCs w:val="24"/>
              </w:rPr>
            </w:pPr>
            <w:r w:rsidRPr="00C2704E">
              <w:rPr>
                <w:rFonts w:ascii="Times New Roman" w:hAnsi="Times New Roman" w:cs="Times New Roman"/>
                <w:color w:val="00B0F0"/>
                <w:sz w:val="24"/>
                <w:szCs w:val="24"/>
              </w:rPr>
              <w:t>4400</w:t>
            </w:r>
          </w:p>
        </w:tc>
        <w:tc>
          <w:tcPr>
            <w:tcW w:w="1263"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0</w:t>
            </w:r>
          </w:p>
        </w:tc>
      </w:tr>
      <w:tr w:rsidR="00FD4509" w:rsidRPr="00C2704E" w:rsidTr="001E0C36">
        <w:trPr>
          <w:trHeight w:val="812"/>
        </w:trPr>
        <w:tc>
          <w:tcPr>
            <w:tcW w:w="1857"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Final cost of bundle</w:t>
            </w:r>
          </w:p>
        </w:tc>
        <w:tc>
          <w:tcPr>
            <w:tcW w:w="1692"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p>
        </w:tc>
        <w:tc>
          <w:tcPr>
            <w:tcW w:w="1410"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4000+4400</w:t>
            </w:r>
          </w:p>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=8400</w:t>
            </w:r>
          </w:p>
        </w:tc>
        <w:tc>
          <w:tcPr>
            <w:tcW w:w="1263"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18800</w:t>
            </w:r>
          </w:p>
        </w:tc>
      </w:tr>
      <w:tr w:rsidR="00FD4509" w:rsidRPr="00C2704E" w:rsidTr="001E0C36">
        <w:trPr>
          <w:trHeight w:val="403"/>
        </w:trPr>
        <w:tc>
          <w:tcPr>
            <w:tcW w:w="1857"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Cost of 1 server</w:t>
            </w:r>
          </w:p>
        </w:tc>
        <w:tc>
          <w:tcPr>
            <w:tcW w:w="1692"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p>
        </w:tc>
        <w:tc>
          <w:tcPr>
            <w:tcW w:w="1410"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r w:rsidRPr="00C2704E">
              <w:rPr>
                <w:rFonts w:ascii="Times New Roman" w:hAnsi="Times New Roman" w:cs="Times New Roman"/>
                <w:sz w:val="24"/>
                <w:szCs w:val="24"/>
              </w:rPr>
              <w:t>8400/2= 4200</w:t>
            </w:r>
          </w:p>
        </w:tc>
        <w:tc>
          <w:tcPr>
            <w:tcW w:w="1263" w:type="dxa"/>
            <w:tcBorders>
              <w:left w:val="single" w:sz="4" w:space="0" w:color="000009"/>
              <w:right w:val="single" w:sz="4" w:space="0" w:color="000009"/>
            </w:tcBorders>
          </w:tcPr>
          <w:p w:rsidR="00FD4509" w:rsidRPr="00C2704E" w:rsidRDefault="00FD4509" w:rsidP="00FD4509">
            <w:pPr>
              <w:tabs>
                <w:tab w:val="left" w:pos="1080"/>
              </w:tabs>
              <w:rPr>
                <w:rFonts w:ascii="Times New Roman" w:hAnsi="Times New Roman" w:cs="Times New Roman"/>
                <w:sz w:val="24"/>
                <w:szCs w:val="24"/>
              </w:rPr>
            </w:pPr>
          </w:p>
        </w:tc>
      </w:tr>
    </w:tbl>
    <w:p w:rsidR="00FD4509" w:rsidRPr="00C2704E" w:rsidRDefault="00FD4509" w:rsidP="002E34BB">
      <w:pPr>
        <w:tabs>
          <w:tab w:val="left" w:pos="1080"/>
        </w:tabs>
        <w:rPr>
          <w:rFonts w:ascii="Times New Roman" w:hAnsi="Times New Roman" w:cs="Times New Roman"/>
          <w:sz w:val="24"/>
          <w:szCs w:val="24"/>
        </w:rPr>
      </w:pPr>
    </w:p>
    <w:p w:rsidR="00BD35E7" w:rsidRPr="00C2704E" w:rsidRDefault="00BD35E7" w:rsidP="00DD10FC">
      <w:pPr>
        <w:tabs>
          <w:tab w:val="left" w:pos="1080"/>
        </w:tabs>
        <w:jc w:val="center"/>
        <w:rPr>
          <w:rFonts w:ascii="Times New Roman" w:hAnsi="Times New Roman" w:cs="Times New Roman"/>
          <w:b/>
          <w:sz w:val="24"/>
          <w:szCs w:val="24"/>
        </w:rPr>
      </w:pPr>
      <w:r w:rsidRPr="00C2704E">
        <w:rPr>
          <w:rFonts w:ascii="Times New Roman" w:hAnsi="Times New Roman" w:cs="Times New Roman"/>
          <w:b/>
          <w:sz w:val="24"/>
          <w:szCs w:val="24"/>
        </w:rPr>
        <w:t>Break even analysis</w:t>
      </w:r>
    </w:p>
    <w:tbl>
      <w:tblPr>
        <w:tblStyle w:val="TableGrid"/>
        <w:tblW w:w="0" w:type="auto"/>
        <w:tblLook w:val="04A0" w:firstRow="1" w:lastRow="0" w:firstColumn="1" w:lastColumn="0" w:noHBand="0" w:noVBand="1"/>
      </w:tblPr>
      <w:tblGrid>
        <w:gridCol w:w="1915"/>
        <w:gridCol w:w="1915"/>
        <w:gridCol w:w="1915"/>
        <w:gridCol w:w="1915"/>
        <w:gridCol w:w="1916"/>
      </w:tblGrid>
      <w:tr w:rsidR="00BD35E7" w:rsidRPr="00C2704E" w:rsidTr="00BD35E7">
        <w:tc>
          <w:tcPr>
            <w:tcW w:w="1915" w:type="dxa"/>
          </w:tcPr>
          <w:p w:rsidR="00BD35E7" w:rsidRPr="00C2704E" w:rsidRDefault="00BD35E7" w:rsidP="002E34BB">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strategy</w:t>
            </w:r>
          </w:p>
        </w:tc>
        <w:tc>
          <w:tcPr>
            <w:tcW w:w="1915" w:type="dxa"/>
          </w:tcPr>
          <w:p w:rsidR="00BD35E7" w:rsidRPr="00C2704E" w:rsidRDefault="00BD35E7" w:rsidP="002E34BB">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Status quo</w:t>
            </w:r>
          </w:p>
        </w:tc>
        <w:tc>
          <w:tcPr>
            <w:tcW w:w="1915" w:type="dxa"/>
          </w:tcPr>
          <w:p w:rsidR="00BD35E7" w:rsidRPr="00C2704E" w:rsidRDefault="00BD35E7" w:rsidP="002E34BB">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Competition based</w:t>
            </w:r>
          </w:p>
        </w:tc>
        <w:tc>
          <w:tcPr>
            <w:tcW w:w="1915" w:type="dxa"/>
          </w:tcPr>
          <w:p w:rsidR="00BD35E7" w:rsidRPr="00C2704E" w:rsidRDefault="00BD35E7" w:rsidP="002E34BB">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Cost plus</w:t>
            </w:r>
          </w:p>
        </w:tc>
        <w:tc>
          <w:tcPr>
            <w:tcW w:w="1916" w:type="dxa"/>
          </w:tcPr>
          <w:p w:rsidR="00BD35E7" w:rsidRPr="00C2704E" w:rsidRDefault="00BD35E7" w:rsidP="002E34BB">
            <w:pPr>
              <w:tabs>
                <w:tab w:val="left" w:pos="1080"/>
              </w:tabs>
              <w:rPr>
                <w:rFonts w:ascii="Times New Roman" w:hAnsi="Times New Roman" w:cs="Times New Roman"/>
                <w:b/>
                <w:sz w:val="24"/>
                <w:szCs w:val="24"/>
              </w:rPr>
            </w:pPr>
            <w:r w:rsidRPr="00C2704E">
              <w:rPr>
                <w:rFonts w:ascii="Times New Roman" w:hAnsi="Times New Roman" w:cs="Times New Roman"/>
                <w:b/>
                <w:sz w:val="24"/>
                <w:szCs w:val="24"/>
              </w:rPr>
              <w:t>Value-in</w:t>
            </w:r>
          </w:p>
        </w:tc>
      </w:tr>
      <w:tr w:rsidR="00BD35E7" w:rsidRPr="00C2704E" w:rsidTr="00BD35E7">
        <w:tc>
          <w:tcPr>
            <w:tcW w:w="1915" w:type="dxa"/>
          </w:tcPr>
          <w:p w:rsidR="00BD35E7" w:rsidRPr="00C2704E" w:rsidRDefault="00BD35E7"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 xml:space="preserve">Contribution margin </w:t>
            </w:r>
          </w:p>
        </w:tc>
        <w:tc>
          <w:tcPr>
            <w:tcW w:w="1915" w:type="dxa"/>
          </w:tcPr>
          <w:p w:rsidR="00BD35E7"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462</w:t>
            </w:r>
          </w:p>
        </w:tc>
        <w:tc>
          <w:tcPr>
            <w:tcW w:w="1915" w:type="dxa"/>
          </w:tcPr>
          <w:p w:rsidR="00BD35E7"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2042</w:t>
            </w:r>
          </w:p>
        </w:tc>
        <w:tc>
          <w:tcPr>
            <w:tcW w:w="1915" w:type="dxa"/>
          </w:tcPr>
          <w:p w:rsidR="00BD35E7" w:rsidRPr="00C2704E" w:rsidRDefault="00DD10FC"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707</w:t>
            </w:r>
          </w:p>
        </w:tc>
        <w:tc>
          <w:tcPr>
            <w:tcW w:w="1916" w:type="dxa"/>
          </w:tcPr>
          <w:p w:rsidR="00BD35E7" w:rsidRPr="00C2704E" w:rsidRDefault="00BD35E7" w:rsidP="002E34BB">
            <w:pPr>
              <w:tabs>
                <w:tab w:val="left" w:pos="1080"/>
              </w:tabs>
              <w:rPr>
                <w:rFonts w:ascii="Times New Roman" w:hAnsi="Times New Roman" w:cs="Times New Roman"/>
                <w:sz w:val="24"/>
                <w:szCs w:val="24"/>
              </w:rPr>
            </w:pPr>
            <w:r w:rsidRPr="00C2704E">
              <w:rPr>
                <w:rFonts w:ascii="Times New Roman" w:hAnsi="Times New Roman" w:cs="Times New Roman"/>
                <w:sz w:val="24"/>
                <w:szCs w:val="24"/>
              </w:rPr>
              <w:t>2662</w:t>
            </w:r>
          </w:p>
        </w:tc>
      </w:tr>
    </w:tbl>
    <w:p w:rsidR="00BD35E7" w:rsidRPr="00C2704E" w:rsidRDefault="00BD35E7" w:rsidP="002E34BB">
      <w:pPr>
        <w:tabs>
          <w:tab w:val="left" w:pos="1080"/>
        </w:tabs>
        <w:rPr>
          <w:rFonts w:ascii="Times New Roman" w:hAnsi="Times New Roman" w:cs="Times New Roman"/>
          <w:sz w:val="24"/>
          <w:szCs w:val="24"/>
        </w:rPr>
      </w:pPr>
    </w:p>
    <w:sectPr w:rsidR="00BD35E7" w:rsidRPr="00C27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C1"/>
    <w:rsid w:val="0013038C"/>
    <w:rsid w:val="001E0C36"/>
    <w:rsid w:val="002E34BB"/>
    <w:rsid w:val="00340CC1"/>
    <w:rsid w:val="003B56ED"/>
    <w:rsid w:val="00425F4A"/>
    <w:rsid w:val="004C2E3A"/>
    <w:rsid w:val="004C48C7"/>
    <w:rsid w:val="006730C7"/>
    <w:rsid w:val="006A5ADA"/>
    <w:rsid w:val="007E7A20"/>
    <w:rsid w:val="007F395B"/>
    <w:rsid w:val="009848E4"/>
    <w:rsid w:val="00BD35E7"/>
    <w:rsid w:val="00BF1BAD"/>
    <w:rsid w:val="00C2704E"/>
    <w:rsid w:val="00CF2FA6"/>
    <w:rsid w:val="00D87AEA"/>
    <w:rsid w:val="00DD10FC"/>
    <w:rsid w:val="00FD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2021-04-06T09:10:00Z</dcterms:created>
  <dcterms:modified xsi:type="dcterms:W3CDTF">2021-04-06T17:07:00Z</dcterms:modified>
</cp:coreProperties>
</file>